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(İdari Oda, </w:t>
            </w: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İmkanlar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sistemleri </w:t>
            </w:r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 ilkelerine göre kontrol altında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tutulmadır.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6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33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4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0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0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P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8B4546" w:rsidRDefault="008B4546" w:rsidP="008B4546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:rsidR="008B4546" w:rsidRDefault="008B4546" w:rsidP="008B4546">
      <w:r>
        <w:t>REYHAN AYYILDIZ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Ebru TÜRKANIK</w:t>
      </w:r>
    </w:p>
    <w:p w:rsidR="008B4546" w:rsidRDefault="008B4546" w:rsidP="008B4546"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4546" w:rsidRPr="00E61130" w:rsidRDefault="008B4546" w:rsidP="008B4546"/>
    <w:p w:rsidR="00B51147" w:rsidRPr="00E61130" w:rsidRDefault="00B51147" w:rsidP="008B4546">
      <w:bookmarkStart w:id="0" w:name="_GoBack"/>
      <w:bookmarkEnd w:id="0"/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73" w:rsidRDefault="000E3F73" w:rsidP="00CD4279">
      <w:pPr>
        <w:spacing w:after="0" w:line="240" w:lineRule="auto"/>
      </w:pPr>
      <w:r>
        <w:separator/>
      </w:r>
    </w:p>
  </w:endnote>
  <w:endnote w:type="continuationSeparator" w:id="0">
    <w:p w:rsidR="000E3F73" w:rsidRDefault="000E3F73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73" w:rsidRDefault="000E3F73" w:rsidP="00CD4279">
      <w:pPr>
        <w:spacing w:after="0" w:line="240" w:lineRule="auto"/>
      </w:pPr>
      <w:r>
        <w:separator/>
      </w:r>
    </w:p>
  </w:footnote>
  <w:footnote w:type="continuationSeparator" w:id="0">
    <w:p w:rsidR="000E3F73" w:rsidRDefault="000E3F73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AC1FB6" w:rsidRPr="00EC5CA9" w:rsidRDefault="008B4546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</w:t>
          </w:r>
          <w:r w:rsidR="00AC1FB6" w:rsidRPr="00EC5CA9">
            <w:rPr>
              <w:color w:val="FF0000"/>
            </w:rPr>
            <w:t>KAYMAKAMLIĞI</w:t>
          </w:r>
        </w:p>
        <w:p w:rsidR="00AC1FB6" w:rsidRDefault="008B4546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MİLLİ EĞİTİM </w:t>
          </w:r>
          <w:r w:rsidR="00AC1FB6" w:rsidRPr="00EC5CA9">
            <w:rPr>
              <w:color w:val="FF0000"/>
            </w:rPr>
            <w:t>MÜDÜRLÜĞÜ</w:t>
          </w:r>
        </w:p>
        <w:p w:rsidR="0087398E" w:rsidRDefault="008B4546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HOCA AHMED YESEVİ ANADOLU LİSESİ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E3F73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B4546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BA38B"/>
  <w15:docId w15:val="{26B9CF0F-4E31-403B-BF45-2F446ED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MudurYrd1</cp:lastModifiedBy>
  <cp:revision>2</cp:revision>
  <cp:lastPrinted>2021-06-17T09:32:00Z</cp:lastPrinted>
  <dcterms:created xsi:type="dcterms:W3CDTF">2023-08-21T06:48:00Z</dcterms:created>
  <dcterms:modified xsi:type="dcterms:W3CDTF">2023-08-21T06:48:00Z</dcterms:modified>
</cp:coreProperties>
</file>